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61B" w14:textId="2937A73D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903D96">
        <w:rPr>
          <w:rFonts w:ascii="Times New Roman" w:hAnsi="Times New Roman" w:cs="Times New Roman"/>
          <w:sz w:val="36"/>
          <w:szCs w:val="36"/>
          <w:lang w:val="kk-KZ"/>
        </w:rPr>
        <w:t xml:space="preserve">Дәріс 11. </w:t>
      </w:r>
      <w:r w:rsidR="00903D96" w:rsidRPr="00903D9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903D96" w:rsidRPr="00903D96">
        <w:rPr>
          <w:rFonts w:ascii="Times New Roman" w:eastAsia="Cambria" w:hAnsi="Times New Roman" w:cs="Times New Roman"/>
          <w:sz w:val="36"/>
          <w:szCs w:val="36"/>
          <w:lang w:val="kk-KZ"/>
        </w:rPr>
        <w:t>Мердігерлік сауда-саттықты ұйымдастыру және өткізу кезіндегі ақпараттық модель</w:t>
      </w:r>
    </w:p>
    <w:p w14:paraId="2D83B8AD" w14:textId="77777777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31508789" w14:textId="77777777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796C5F91" w14:textId="77777777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903D96"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4D9B44D9" w14:textId="45699875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903D96">
        <w:rPr>
          <w:rFonts w:ascii="Times New Roman" w:hAnsi="Times New Roman" w:cs="Times New Roman"/>
          <w:sz w:val="36"/>
          <w:szCs w:val="36"/>
          <w:lang w:val="kk-KZ"/>
        </w:rPr>
        <w:t>1.</w:t>
      </w:r>
      <w:r w:rsidR="00903D96" w:rsidRPr="00903D9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.</w:t>
      </w:r>
      <w:r w:rsidR="00903D96" w:rsidRPr="00903D9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903D96" w:rsidRPr="00903D96">
        <w:rPr>
          <w:rFonts w:ascii="Times New Roman" w:eastAsia="Cambria" w:hAnsi="Times New Roman" w:cs="Times New Roman"/>
          <w:sz w:val="36"/>
          <w:szCs w:val="36"/>
          <w:lang w:val="kk-KZ"/>
        </w:rPr>
        <w:t>Мердігерлік сауда-саттықты ұйымдастыру және өткізу кезіндегі ақпараттық модель</w:t>
      </w:r>
    </w:p>
    <w:p w14:paraId="58AD0662" w14:textId="77777777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903D96">
        <w:rPr>
          <w:rFonts w:ascii="Times New Roman" w:hAnsi="Times New Roman" w:cs="Times New Roman"/>
          <w:sz w:val="36"/>
          <w:szCs w:val="36"/>
          <w:lang w:val="kk-KZ"/>
        </w:rPr>
        <w:t>2.</w:t>
      </w:r>
    </w:p>
    <w:p w14:paraId="00DAB75F" w14:textId="74AB2D05" w:rsidR="005D4B7B" w:rsidRPr="00903D96" w:rsidRDefault="005D4B7B" w:rsidP="005D4B7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903D96">
        <w:rPr>
          <w:rFonts w:ascii="Times New Roman" w:hAnsi="Times New Roman" w:cs="Times New Roman"/>
          <w:sz w:val="36"/>
          <w:szCs w:val="36"/>
          <w:lang w:val="kk-KZ"/>
        </w:rPr>
        <w:t xml:space="preserve"> Мақсаты- студенттерге   </w:t>
      </w:r>
      <w:r w:rsidR="00903D96" w:rsidRPr="00903D9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903D96" w:rsidRPr="00903D96">
        <w:rPr>
          <w:rFonts w:ascii="Times New Roman" w:eastAsia="Cambria" w:hAnsi="Times New Roman" w:cs="Times New Roman"/>
          <w:sz w:val="36"/>
          <w:szCs w:val="36"/>
          <w:lang w:val="kk-KZ"/>
        </w:rPr>
        <w:t>мердігерлік сауда-саттықты ұйымдастыру және өткізу кезіндегі ақпараттық модельдерін</w:t>
      </w:r>
      <w:r w:rsidRPr="00903D96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түсіндіру</w:t>
      </w:r>
    </w:p>
    <w:p w14:paraId="61B95BDA" w14:textId="77777777" w:rsidR="005D4B7B" w:rsidRDefault="005D4B7B" w:rsidP="005D4B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CCF25B" w14:textId="3CF1FF25" w:rsidR="00652C88" w:rsidRPr="00652C88" w:rsidRDefault="00652C88" w:rsidP="00652C88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  <w:t>Р</w:t>
      </w:r>
      <w:r w:rsidRPr="00652C88"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  <w:t>ейтингтік-балдық жүйені пайдалана отырып, конкурсты жүзеге асыру тәртібі</w:t>
      </w:r>
    </w:p>
    <w:p w14:paraId="277A5BCF" w14:textId="6A4D924A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 Рейтингтік-балдық жүйені пайдалана отырып өткізілетін конкурс уәкілетті орган бекіткен тауарлардың, жұмыстардың, көрсетілетін қызметтердің тізбесі бойынша жүзеге асырылады.</w:t>
      </w:r>
    </w:p>
    <w:p w14:paraId="1C20EA5F" w14:textId="53594B98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Рейтингтік-балдық жүйені пайдалана отырып өткізілетін конкурс осы тарауда көзделген ерекшеліктерді ескере отырып, осы Қағидаларға сәйкес жүзеге асырылады.</w:t>
      </w:r>
    </w:p>
    <w:p w14:paraId="35CBEDA4" w14:textId="6085738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Рейтингтік-баллдық жүйені пайдалана отырып, конкурс тәсілімен мемлекеттік сатып алу жөніндегі конкурстық комиссия құрылмайды.</w:t>
      </w:r>
    </w:p>
    <w:p w14:paraId="6B689015" w14:textId="556DC3FB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Рейтингтік-балдық жүйені пайдалана отырып, өткізілетін конкурсқа қатысуға өтінімдерді ұсыну мерзімі өткеннен кейін веб-портал қорытындылардың хаттамасын автоматты түрде қалыптастырады.</w:t>
      </w:r>
    </w:p>
    <w:p w14:paraId="256C57DD" w14:textId="518501D9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 xml:space="preserve">      Веб-портал конкурстық баға ұсыныстарын және конкурстық баға ұсынысына әсер ететін өлшемшарттарды 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lastRenderedPageBreak/>
        <w:t>автоматты түрде салыстырады және жеңімпазды айқындайды.</w:t>
      </w:r>
    </w:p>
    <w:p w14:paraId="487371DB" w14:textId="1DDFD81D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 Екінші орын алған конкурстың жеңімпазы мен қатысушысын айқындау тәртібі осы Қағидалармен айқындалады.</w:t>
      </w:r>
    </w:p>
    <w:p w14:paraId="0FE3BDB9" w14:textId="28B59F30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 Конкурстық баға ұсынысына әсер ететін өлшемшарттар және оларды есептеу осы Қағидалармен айқындалады.</w:t>
      </w:r>
    </w:p>
    <w:p w14:paraId="2EF2098C" w14:textId="56158A7C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Конкурстық құжаттамаға, алдын ала талқылауға, хабарлауға, конкурсқа қатысуға өтінімге, оны қамтамасыз етуге, шартты жасасуға, өзгертуге және орындауға қойылатын талаптар осы тарауда белгіленген ерекшеліктер ескеріле отырып, айқындалады.</w:t>
      </w:r>
    </w:p>
    <w:p w14:paraId="055364BB" w14:textId="2EDC13AB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 Рейтингтік-балдық жүйені пайдалана отырып жүргізілген конкурстың қорытындылары Заңның 47-бабының тәртібімен шағымдануға жатпайд</w:t>
      </w:r>
    </w:p>
    <w:p w14:paraId="3BEBC3FD" w14:textId="3D26673D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  <w:t>Аукцион тәсілімен мемлекеттік сатып алуды жүзеге асыру тәртібі</w:t>
      </w:r>
    </w:p>
    <w:p w14:paraId="5ECA9F2B" w14:textId="1968F1E9" w:rsidR="00652C88" w:rsidRPr="00652C88" w:rsidRDefault="00652C88" w:rsidP="00652C88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1E1E1E"/>
          <w:sz w:val="36"/>
          <w:szCs w:val="36"/>
          <w:lang w:val="kk-KZ" w:eastAsia="ru-RU"/>
        </w:rPr>
        <w:t>Аукцион тәсілімен мемлекеттік сатып алуды ұйымдастыру және жүргізу</w:t>
      </w:r>
    </w:p>
    <w:p w14:paraId="1E4921CB" w14:textId="0D17748E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 Аукцион тәсілімен жүзеге асырылатын мемлекеттік сатып алуды ұйымдастыру және жүргізу мынадай реттілікпен іс-шараларды орындауды көздейді:</w:t>
      </w:r>
    </w:p>
    <w:p w14:paraId="76A2352C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1) тапсырыс берушi мен ұйымдастырушы бiр тұлғаны білдіретін жағдайларды қоспағанда,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айқындауы;</w:t>
      </w:r>
    </w:p>
    <w:p w14:paraId="47DEBD50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lastRenderedPageBreak/>
        <w:t>      2) тапсырыс берушінің ұйымдастырушыға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ұсынуы;</w:t>
      </w:r>
    </w:p>
    <w:p w14:paraId="4711884B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3) тапсырыс берушiнің бірыңғай ұйымдастырушыға веб-портал арқылы аукционды ұйымдастыру және өткізу рәсімдерін орындау үшін мемлекеттік сатып алудың жылдық жоспарының тармақтарын жіберуі;</w:t>
      </w:r>
    </w:p>
    <w:p w14:paraId="06A6841C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4) аукциондық комиссияның құрамын, сараптау комиссиясының құрамын не сарапшыны (қажет болғанда) айқындау және бекіту, аукциондық комиссияның хатшысын айқындау;</w:t>
      </w:r>
    </w:p>
    <w:p w14:paraId="3D26D800" w14:textId="77777777" w:rsidR="00652C88" w:rsidRPr="00652C88" w:rsidRDefault="00652C88" w:rsidP="00652C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5) осы Қағидаларға 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begin"/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instrText xml:space="preserve"> HYPERLINK "https://adilet.zan.kz/kaz/docs/V1500012590" \l "z847" </w:instrTex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separate"/>
      </w:r>
      <w:r w:rsidRPr="00652C88">
        <w:rPr>
          <w:rFonts w:ascii="Times New Roman" w:eastAsia="Times New Roman" w:hAnsi="Times New Roman" w:cs="Times New Roman"/>
          <w:color w:val="073A5E"/>
          <w:spacing w:val="2"/>
          <w:sz w:val="36"/>
          <w:szCs w:val="36"/>
          <w:u w:val="single"/>
          <w:lang w:val="kk-KZ" w:eastAsia="ru-RU"/>
        </w:rPr>
        <w:t>15-қосымшаға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end"/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сәйкес нысан бойынша аукциондық құжаттаманың жобасын бекіту;</w:t>
      </w:r>
    </w:p>
    <w:p w14:paraId="163949D3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6) аукцион тәсілімен мемлекеттік сатып алуды жүзеге асыру туралы хабарламаны, сондай-ақ аукциондық құжаттаманың мәтінін веб-порталға орналастыру;</w:t>
      </w:r>
    </w:p>
    <w:p w14:paraId="2ED1E49E" w14:textId="77777777" w:rsidR="00652C88" w:rsidRPr="00652C88" w:rsidRDefault="00652C88" w:rsidP="00652C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7) осы Қағидаларға 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begin"/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instrText xml:space="preserve"> HYPERLINK "https://adilet.zan.kz/kaz/docs/V1500012590" \l "z963" </w:instrTex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separate"/>
      </w:r>
      <w:r w:rsidRPr="00652C88">
        <w:rPr>
          <w:rFonts w:ascii="Times New Roman" w:eastAsia="Times New Roman" w:hAnsi="Times New Roman" w:cs="Times New Roman"/>
          <w:color w:val="073A5E"/>
          <w:spacing w:val="2"/>
          <w:sz w:val="36"/>
          <w:szCs w:val="36"/>
          <w:u w:val="single"/>
          <w:lang w:val="kk-KZ" w:eastAsia="ru-RU"/>
        </w:rPr>
        <w:t>16-қосымшаға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fldChar w:fldCharType="end"/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сәйкес нысан бойынша аукциондық құжаттаманың жобасын веб-портал арқылы алдын ала талқылау және аукциондық құжаттаманың жобасын алдын ала талқылаудың хаттамасын, сондай-ақ аукциондық құжаттаманың мәтінін веб-порталға орналастыру;</w:t>
      </w:r>
    </w:p>
    <w:p w14:paraId="453C4762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      8) әлеуетті өнім берушілердің электрондық құжат нысанындағы аукционға қатысуға өтінімдерін ұсынуы және оларды веб-порталда автоматты түрде тіркеу;</w:t>
      </w:r>
    </w:p>
    <w:p w14:paraId="348B471B" w14:textId="77777777" w:rsidR="00652C88" w:rsidRPr="00652C88" w:rsidRDefault="00652C88" w:rsidP="00652C8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 xml:space="preserve">      </w:t>
      </w: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9) осы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Қағидаларға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</w:t>
      </w:r>
      <w:hyperlink r:id="rId5" w:anchor="z965" w:history="1">
        <w:r w:rsidRPr="00652C88">
          <w:rPr>
            <w:rFonts w:ascii="Times New Roman" w:eastAsia="Times New Roman" w:hAnsi="Times New Roman" w:cs="Times New Roman"/>
            <w:color w:val="073A5E"/>
            <w:spacing w:val="2"/>
            <w:sz w:val="36"/>
            <w:szCs w:val="36"/>
            <w:u w:val="single"/>
            <w:lang w:eastAsia="ru-RU"/>
          </w:rPr>
          <w:t>17-қосымшаға</w:t>
        </w:r>
      </w:hyperlink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сәйкес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нысан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бойынша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аукцион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өткізу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аукцион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хаттамасын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қалыптастыру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веб-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порталда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орналастыру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;</w:t>
      </w:r>
    </w:p>
    <w:p w14:paraId="5E339BBE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lastRenderedPageBreak/>
        <w:t xml:space="preserve">      10)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комиссияның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веб-портал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арқылы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әлеуетті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өнім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берушілердің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қатысуға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арналған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өтінімдерін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біліктілік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талаптарына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құжаттама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талаптарына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сәйкестігі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тұрғысынан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осы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Қағидаларда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айқындалған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тәртіпте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қарауы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;</w:t>
      </w:r>
    </w:p>
    <w:p w14:paraId="7CEAA60E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      11)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біліктілік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талаптарына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құжаттаманың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талаптарына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сәйкес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келетін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әлеуетті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өнім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берушілерді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айқындау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аукцион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қорытындылары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туралы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хаттаманы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(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немесе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) аукцион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қорытындылары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туралы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аралық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хаттаманы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қалыптастыру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веб-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порталда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орналастыру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;</w:t>
      </w:r>
    </w:p>
    <w:p w14:paraId="50F165B7" w14:textId="77777777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      12)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тапсырыс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берушінің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мемлекеттік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сатып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алу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қорытындылары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туралы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хаттама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негізінде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жеңімпазбен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шарт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жасасуы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.</w:t>
      </w:r>
    </w:p>
    <w:p w14:paraId="57D7F66B" w14:textId="0574C65D" w:rsidR="00652C88" w:rsidRPr="00652C88" w:rsidRDefault="00652C88" w:rsidP="00652C8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</w:pPr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     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Тапсырыс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берушінің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ұйымдастырушыны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бірыңғай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ұйымдастырушыны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айқындауына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комиссияның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құрамын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сараптау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комиссиясының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құрамын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не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сарапшыны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(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қажет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болған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жағдайда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)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айқындауға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бекітуге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комиссияның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хатшысын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айқындауға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құжаттаманың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жобасын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бекітуге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өткізу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туралы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хабарламаны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орналастыруға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аукциондық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құжаттаманың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жобасын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алдын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ала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талқылауға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әлеуетті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өнім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берушілердің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қатысуға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өтінімдерді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ұсынуына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қатысуға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өтінімдерді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қамтамасыз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етуге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әлеуетті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өнім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берушілердің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қатысуға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рұқсатын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беруге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қойылатын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талаптар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Заңда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және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осы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Қағидаларда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белгіленген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ерекшеліктер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ескеріле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отырып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,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сараптама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комиссиясының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не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сарапшының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аукционға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қатысуға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өтінімдерді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қарау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тәртібіне</w:t>
      </w:r>
      <w:proofErr w:type="spellEnd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 xml:space="preserve"> </w:t>
      </w:r>
      <w:proofErr w:type="spellStart"/>
      <w:r w:rsidRPr="00652C8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/>
        </w:rPr>
        <w:t>сә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 w:eastAsia="ru-RU"/>
        </w:rPr>
        <w:t>йкес.</w:t>
      </w:r>
    </w:p>
    <w:p w14:paraId="1F0597B6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99D412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697DCD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0BCAFC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D08576" w14:textId="77777777" w:rsidR="00B52482" w:rsidRDefault="00B52482" w:rsidP="00B52482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489CCA32" w14:textId="77777777" w:rsidR="00B52482" w:rsidRDefault="00B52482" w:rsidP="00B52482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205C132" w14:textId="77777777" w:rsidR="00B52482" w:rsidRDefault="00B52482" w:rsidP="00B52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1D17D9E" w14:textId="77777777" w:rsidR="00B52482" w:rsidRDefault="00B52482" w:rsidP="00B5248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CCD0A2B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10BB929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9CB33CF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38F64D6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F1C615F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5ED06EA0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7D30C64A" w14:textId="77777777" w:rsidR="00B52482" w:rsidRDefault="00B52482" w:rsidP="00B5248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533400BD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0D0D363E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4EE6AB5C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0248C32A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3C73D476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42AA812B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222A3859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48C06D1F" w14:textId="77777777" w:rsidR="00B52482" w:rsidRDefault="00B52482" w:rsidP="00B52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19272058" w14:textId="77777777" w:rsidR="00B52482" w:rsidRDefault="00B52482" w:rsidP="00B52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D10A0E5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51F92B43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EFD7A69" w14:textId="77777777" w:rsidR="00B52482" w:rsidRDefault="00B52482" w:rsidP="00B5248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3D4DFC84" w14:textId="77777777" w:rsidR="00B52482" w:rsidRDefault="00B52482" w:rsidP="00B52482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3DD1CC8" w14:textId="77777777" w:rsidR="00B52482" w:rsidRDefault="00B52482" w:rsidP="00B5248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4A613C7" w14:textId="77777777" w:rsidR="00B52482" w:rsidRDefault="00652C88" w:rsidP="00B52482">
      <w:pPr>
        <w:spacing w:after="0" w:line="240" w:lineRule="auto"/>
        <w:rPr>
          <w:rStyle w:val="af4"/>
          <w:color w:val="auto"/>
          <w:u w:val="none"/>
          <w:shd w:val="clear" w:color="auto" w:fill="FFFFFF"/>
        </w:rPr>
      </w:pPr>
      <w:hyperlink r:id="rId7" w:history="1">
        <w:r w:rsidR="00B52482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72517B27" w14:textId="77777777" w:rsidR="00B52482" w:rsidRDefault="00B52482" w:rsidP="00B52482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8" w:history="1">
        <w:r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AEE7A69" w14:textId="77777777" w:rsidR="00B52482" w:rsidRDefault="00B52482" w:rsidP="00B524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9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9DACFB4" w14:textId="77777777" w:rsidR="00B52482" w:rsidRDefault="00B52482" w:rsidP="00B524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D76F126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0E2335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699161" w14:textId="77777777" w:rsidR="005D4B7B" w:rsidRDefault="005D4B7B" w:rsidP="005D4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FB0A03" w14:textId="26D2BBAC" w:rsidR="005D4B7B" w:rsidRDefault="005D4B7B" w:rsidP="005D4B7B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4F66524" w14:textId="684C7E59" w:rsidR="00F12C76" w:rsidRPr="005D4B7B" w:rsidRDefault="00F12C76" w:rsidP="005D4B7B">
      <w:pPr>
        <w:spacing w:after="0"/>
        <w:jc w:val="both"/>
        <w:rPr>
          <w:lang w:val="kk-KZ"/>
        </w:rPr>
      </w:pPr>
    </w:p>
    <w:sectPr w:rsidR="00F12C76" w:rsidRPr="005D4B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97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6F"/>
    <w:rsid w:val="005D4B7B"/>
    <w:rsid w:val="00652C88"/>
    <w:rsid w:val="006C0B77"/>
    <w:rsid w:val="006F1C33"/>
    <w:rsid w:val="008242FF"/>
    <w:rsid w:val="00870751"/>
    <w:rsid w:val="00903D96"/>
    <w:rsid w:val="00922C48"/>
    <w:rsid w:val="00926B6F"/>
    <w:rsid w:val="00B524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B6A"/>
  <w15:chartTrackingRefBased/>
  <w15:docId w15:val="{01D0B556-E477-43C8-BD2F-ED354DA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7B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B52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up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2;&#1077;&#1084;&#1083;%20&#1089;&#1072;&#1090;\1.%20https:\www.referat911.ru&#160;&#82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V15000125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cotender.ru/tender2046063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2022-06-29T03:26:00Z</dcterms:created>
  <dcterms:modified xsi:type="dcterms:W3CDTF">2022-06-30T07:36:00Z</dcterms:modified>
</cp:coreProperties>
</file>